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0"/>
        </w:rPr>
        <w:t>Tranche 2 AML in Australia</w:t>
      </w:r>
    </w:p>
    <w:p>
      <w:pPr>
        <w:jc w:val="center"/>
      </w:pPr>
      <w:r>
        <w:rPr>
          <w:i/>
          <w:sz w:val="26"/>
        </w:rPr>
        <w:t>What It Actually Means for Your Industry</w:t>
      </w:r>
    </w:p>
    <w:p>
      <w:pPr>
        <w:jc w:val="center"/>
      </w:pPr>
      <w:r>
        <w:rPr>
          <w:b w:val="0"/>
        </w:rPr>
        <w:t>Practical guide for newly regulated businesses under Australia's AML/CTF reforms</w:t>
        <w:br/>
      </w:r>
      <w:r>
        <w:rPr>
          <w:i/>
        </w:rPr>
        <w:t>Updated for the 2026 commencement period</w:t>
      </w:r>
    </w:p>
    <w:p/>
    <w:p>
      <w:r>
        <w:rPr>
          <w:b/>
        </w:rPr>
        <w:t xml:space="preserve">Important note: </w:t>
      </w:r>
      <w:r>
        <w:t>This guide is general information only and is not legal advice. Whether your business is captured depends on the specific designated services you provide and your geographical link to Australia. Obtain legal and compliance advice for your exact business model.</w:t>
      </w:r>
    </w:p>
    <w:p>
      <w:pPr>
        <w:pStyle w:val="Heading1"/>
      </w:pPr>
      <w:r>
        <w:t>Executive summary</w:t>
      </w:r>
    </w:p>
    <w:p>
      <w:pPr>
        <w:pStyle w:val="ListBullet"/>
      </w:pPr>
      <w:r>
        <w:t>“Tranche 2” is the expansion of Australia’s AML/CTF regime to additional higher-risk sectors outside the traditional financial sector.</w:t>
      </w:r>
    </w:p>
    <w:p>
      <w:pPr>
        <w:pStyle w:val="ListBullet"/>
      </w:pPr>
      <w:r>
        <w:t>From 1 July 2026, many businesses in real estate, legal services, accounting, conveyancing, trust and company services, and dealers in precious metals, stones and products will have AML/CTF obligations if they provide designated services.</w:t>
      </w:r>
    </w:p>
    <w:p>
      <w:pPr>
        <w:pStyle w:val="ListBullet"/>
      </w:pPr>
      <w:r>
        <w:t>Enrolment is open for newly regulated businesses, and businesses providing newly regulated designated services commencing on 1 July 2026 must enrol with AUSTRAC by 29 July 2026.</w:t>
      </w:r>
    </w:p>
    <w:p>
      <w:pPr>
        <w:pStyle w:val="ListBullet"/>
      </w:pPr>
      <w:r>
        <w:t>This is not just a paperwork exercise. It changes onboarding, client acceptance, beneficial ownership checks, matter risk assessments, staff training, escalation processes, record keeping, and suspicious matter reporting.</w:t>
      </w:r>
    </w:p>
    <w:p>
      <w:pPr>
        <w:pStyle w:val="ListBullet"/>
      </w:pPr>
      <w:r>
        <w:t>The core practical shift is simple: if your work can be used to move, hide, structure, or legitimise money or assets, you now need a documented, risk-based AML/CTF control framework.</w:t>
      </w:r>
    </w:p>
    <w:p>
      <w:pPr>
        <w:pStyle w:val="Heading1"/>
      </w:pPr>
      <w:r>
        <w:t>1. What Tranche 2 actually means</w:t>
      </w:r>
    </w:p>
    <w:p>
      <w:r>
        <w:t>In plain English, Tranche 2 means that sectors long recognised as attractive channels for money laundering are being brought into the same broad AML/CTF framework that already applies to banks and other reporting entities. The policy driver is to close longstanding gaps, align Australia more closely with international standards, and require higher-risk professional and transactional services to identify customers, understand risk, monitor activity, and report suspicious matters.</w:t>
      </w:r>
    </w:p>
    <w:p>
      <w:r>
        <w:t>For business owners and operators, the real-world impact is operational: you cannot simply “know your client” informally anymore. You need a repeatable, defensible compliance system.</w:t>
      </w:r>
    </w:p>
    <w:p>
      <w:pPr>
        <w:pStyle w:val="Heading1"/>
      </w:pPr>
      <w:r>
        <w:t>2. Who is likely to be affected</w:t>
      </w:r>
    </w:p>
    <w:p>
      <w:pPr/>
      <w:r>
        <w:t>The reforms are aimed at newly regulated entities that provide designated services, commonly including the following sectors:</w:t>
      </w:r>
    </w:p>
    <w:p>
      <w:pPr>
        <w:pStyle w:val="ListBullet"/>
      </w:pPr>
      <w:r>
        <w:t>Real estate professionals and some property-related businesses</w:t>
      </w:r>
    </w:p>
    <w:p>
      <w:pPr>
        <w:pStyle w:val="ListBullet"/>
      </w:pPr>
      <w:r>
        <w:t>Legal professionals</w:t>
      </w:r>
    </w:p>
    <w:p>
      <w:pPr>
        <w:pStyle w:val="ListBullet"/>
      </w:pPr>
      <w:r>
        <w:t>Conveyancers</w:t>
      </w:r>
    </w:p>
    <w:p>
      <w:pPr>
        <w:pStyle w:val="ListBullet"/>
      </w:pPr>
      <w:r>
        <w:t>Accountants and some professional service providers</w:t>
      </w:r>
    </w:p>
    <w:p>
      <w:pPr>
        <w:pStyle w:val="ListBullet"/>
      </w:pPr>
      <w:r>
        <w:t>Trust and company service providers</w:t>
      </w:r>
    </w:p>
    <w:p>
      <w:pPr>
        <w:pStyle w:val="ListBullet"/>
      </w:pPr>
      <w:r>
        <w:t>Dealers in precious metals, stones and products in relevant circumstances</w:t>
      </w:r>
    </w:p>
    <w:p>
      <w:r>
        <w:t>The key point is that being in one of these professions does not automatically mean every service you provide is regulated. The trigger is whether you provide a designated service covered by the legislation and AUSTRAC guidance.</w:t>
      </w:r>
    </w:p>
    <w:p>
      <w:pPr>
        <w:pStyle w:val="Heading1"/>
      </w:pPr>
      <w:r>
        <w:t>3. Key dates you should know</w:t>
      </w:r>
    </w:p>
    <w:tbl>
      <w:tblPr>
        <w:tblStyle w:val="TableGrid"/>
        <w:tblW w:type="auto" w:w="0"/>
        <w:tblLook w:firstColumn="1" w:firstRow="1" w:lastColumn="0" w:lastRow="0" w:noHBand="0" w:noVBand="1" w:val="04A0"/>
      </w:tblPr>
      <w:tblGrid>
        <w:gridCol w:w="4320"/>
        <w:gridCol w:w="4320"/>
      </w:tblGrid>
      <w:tr>
        <w:tc>
          <w:tcPr>
            <w:tcW w:type="dxa" w:w="4320"/>
          </w:tcPr>
          <w:p>
            <w:r>
              <w:t>Date</w:t>
            </w:r>
          </w:p>
        </w:tc>
        <w:tc>
          <w:tcPr>
            <w:tcW w:type="dxa" w:w="4320"/>
          </w:tcPr>
          <w:p>
            <w:r>
              <w:t>Why it matters</w:t>
            </w:r>
          </w:p>
        </w:tc>
      </w:tr>
      <w:tr>
        <w:tc>
          <w:tcPr>
            <w:tcW w:type="dxa" w:w="4320"/>
          </w:tcPr>
          <w:p>
            <w:r>
              <w:t>29 November 2024</w:t>
            </w:r>
          </w:p>
        </w:tc>
        <w:tc>
          <w:tcPr>
            <w:tcW w:type="dxa" w:w="4320"/>
          </w:tcPr>
          <w:p>
            <w:r>
              <w:t>Parliament passed the AML/CTF Amendment Bill 2024.</w:t>
            </w:r>
          </w:p>
        </w:tc>
      </w:tr>
      <w:tr>
        <w:tc>
          <w:tcPr>
            <w:tcW w:type="dxa" w:w="4320"/>
          </w:tcPr>
          <w:p>
            <w:r>
              <w:t>10 December 2024</w:t>
            </w:r>
          </w:p>
        </w:tc>
        <w:tc>
          <w:tcPr>
            <w:tcW w:type="dxa" w:w="4320"/>
          </w:tcPr>
          <w:p>
            <w:r>
              <w:t>Royal Assent to the Amendment Act.</w:t>
            </w:r>
          </w:p>
        </w:tc>
      </w:tr>
      <w:tr>
        <w:tc>
          <w:tcPr>
            <w:tcW w:type="dxa" w:w="4320"/>
          </w:tcPr>
          <w:p>
            <w:r>
              <w:t>31 March 2026</w:t>
            </w:r>
          </w:p>
        </w:tc>
        <w:tc>
          <w:tcPr>
            <w:tcW w:type="dxa" w:w="4320"/>
          </w:tcPr>
          <w:p>
            <w:r>
              <w:t>Enrolment opened for newly regulated professions; reforms also commenced for some existing reporting entities and virtual asset service providers.</w:t>
            </w:r>
          </w:p>
        </w:tc>
      </w:tr>
      <w:tr>
        <w:tc>
          <w:tcPr>
            <w:tcW w:type="dxa" w:w="4320"/>
          </w:tcPr>
          <w:p>
            <w:r>
              <w:t>1 July 2026</w:t>
            </w:r>
          </w:p>
        </w:tc>
        <w:tc>
          <w:tcPr>
            <w:tcW w:type="dxa" w:w="4320"/>
          </w:tcPr>
          <w:p>
            <w:r>
              <w:t>AML/CTF obligations commence for Tranche 2 entities.</w:t>
            </w:r>
          </w:p>
        </w:tc>
      </w:tr>
      <w:tr>
        <w:tc>
          <w:tcPr>
            <w:tcW w:type="dxa" w:w="4320"/>
          </w:tcPr>
          <w:p>
            <w:r>
              <w:t>29 July 2026</w:t>
            </w:r>
          </w:p>
        </w:tc>
        <w:tc>
          <w:tcPr>
            <w:tcW w:type="dxa" w:w="4320"/>
          </w:tcPr>
          <w:p>
            <w:r>
              <w:t>Deadline for newly regulated businesses providing the new designated services commencing on 1 July 2026 to enrol with AUSTRAC.</w:t>
            </w:r>
          </w:p>
        </w:tc>
      </w:tr>
    </w:tbl>
    <w:p>
      <w:pPr>
        <w:pStyle w:val="Heading1"/>
      </w:pPr>
      <w:r>
        <w:t>4. The core obligations in practice</w:t>
      </w:r>
    </w:p>
    <w:p>
      <w:pPr/>
      <w:r>
        <w:t>If your business is captured, the core obligations typically include:</w:t>
      </w:r>
    </w:p>
    <w:p>
      <w:pPr>
        <w:pStyle w:val="ListBullet"/>
      </w:pPr>
      <w:r>
        <w:rPr>
          <w:b/>
        </w:rPr>
        <w:t xml:space="preserve">Enrolment with AUSTRAC: </w:t>
      </w:r>
      <w:r>
        <w:t>You need to complete the required enrolment steps and keep details current.</w:t>
      </w:r>
    </w:p>
    <w:p>
      <w:pPr>
        <w:pStyle w:val="ListBullet"/>
      </w:pPr>
      <w:r>
        <w:rPr>
          <w:b/>
        </w:rPr>
        <w:t xml:space="preserve">AML/CTF risk assessment: </w:t>
      </w:r>
      <w:r>
        <w:t>You must assess your exposure to money laundering, terrorism financing and proliferation financing risk.</w:t>
      </w:r>
    </w:p>
    <w:p>
      <w:pPr>
        <w:pStyle w:val="ListBullet"/>
      </w:pPr>
      <w:r>
        <w:rPr>
          <w:b/>
        </w:rPr>
        <w:t xml:space="preserve">AML/CTF program: </w:t>
      </w:r>
      <w:r>
        <w:t>You need a documented, risk-based program tailored to your services, customer types, delivery channels and jurisdictions.</w:t>
      </w:r>
    </w:p>
    <w:p>
      <w:pPr>
        <w:pStyle w:val="ListBullet"/>
      </w:pPr>
      <w:r>
        <w:rPr>
          <w:b/>
        </w:rPr>
        <w:t xml:space="preserve">Compliance officer and governance: </w:t>
      </w:r>
      <w:r>
        <w:t>A responsible person must oversee the framework, escalations, reporting and remediation.</w:t>
      </w:r>
    </w:p>
    <w:p>
      <w:pPr>
        <w:pStyle w:val="ListBullet"/>
      </w:pPr>
      <w:r>
        <w:rPr>
          <w:b/>
        </w:rPr>
        <w:t xml:space="preserve">Customer due diligence: </w:t>
      </w:r>
      <w:r>
        <w:t>You must identify and verify customers before providing relevant services and understand beneficial ownership/control where required.</w:t>
      </w:r>
    </w:p>
    <w:p>
      <w:pPr>
        <w:pStyle w:val="ListBullet"/>
      </w:pPr>
      <w:r>
        <w:rPr>
          <w:b/>
        </w:rPr>
        <w:t xml:space="preserve">Ongoing due diligence: </w:t>
      </w:r>
      <w:r>
        <w:t>You must keep customer information and risk ratings current and revisit matters when risk changes.</w:t>
      </w:r>
    </w:p>
    <w:p>
      <w:pPr>
        <w:pStyle w:val="ListBullet"/>
      </w:pPr>
      <w:r>
        <w:rPr>
          <w:b/>
        </w:rPr>
        <w:t xml:space="preserve">Enhanced due diligence: </w:t>
      </w:r>
      <w:r>
        <w:t>Higher-risk matters require deeper scrutiny, stronger approvals and closer monitoring.</w:t>
      </w:r>
    </w:p>
    <w:p>
      <w:pPr>
        <w:pStyle w:val="ListBullet"/>
      </w:pPr>
      <w:r>
        <w:rPr>
          <w:b/>
        </w:rPr>
        <w:t xml:space="preserve">Transaction and matter monitoring: </w:t>
      </w:r>
      <w:r>
        <w:t>You need to detect unusual activity, inconsistent behaviour, source-of-funds concerns and structuring indicators.</w:t>
      </w:r>
    </w:p>
    <w:p>
      <w:pPr>
        <w:pStyle w:val="ListBullet"/>
      </w:pPr>
      <w:r>
        <w:rPr>
          <w:b/>
        </w:rPr>
        <w:t xml:space="preserve">Reporting to AUSTRAC: </w:t>
      </w:r>
      <w:r>
        <w:t>Suspicious matter reporting and other prescribed reporting obligations apply.</w:t>
      </w:r>
    </w:p>
    <w:p>
      <w:pPr>
        <w:pStyle w:val="ListBullet"/>
      </w:pPr>
      <w:r>
        <w:rPr>
          <w:b/>
        </w:rPr>
        <w:t xml:space="preserve">Record keeping: </w:t>
      </w:r>
      <w:r>
        <w:t>You need to retain evidence of what was collected, checked, decided, escalated and reported.</w:t>
      </w:r>
    </w:p>
    <w:p>
      <w:pPr>
        <w:pStyle w:val="ListBullet"/>
      </w:pPr>
      <w:r>
        <w:rPr>
          <w:b/>
        </w:rPr>
        <w:t xml:space="preserve">Training: </w:t>
      </w:r>
      <w:r>
        <w:t>Staff need role-based training so they can identify red flags and follow the process consistently.</w:t>
      </w:r>
    </w:p>
    <w:p>
      <w:pPr>
        <w:pStyle w:val="ListBullet"/>
      </w:pPr>
      <w:r>
        <w:rPr>
          <w:b/>
        </w:rPr>
        <w:t xml:space="preserve">Independent review / assurance: </w:t>
      </w:r>
      <w:r>
        <w:t>Your program should be tested periodically to ensure it works in practice, not just on paper.</w:t>
      </w:r>
    </w:p>
    <w:p>
      <w:pPr>
        <w:pStyle w:val="Heading1"/>
      </w:pPr>
      <w:r>
        <w:t>5. What it actually means for your industry</w:t>
      </w:r>
    </w:p>
    <w:p>
      <w:pPr>
        <w:pStyle w:val="Heading2"/>
      </w:pPr>
      <w:r>
        <w:t>Legal professionals</w:t>
      </w:r>
    </w:p>
    <w:p>
      <w:pPr>
        <w:pStyle w:val="ListBullet"/>
      </w:pPr>
      <w:r>
        <w:t>Client onboarding becomes a regulated control point, not just a conflict and engagement process.</w:t>
      </w:r>
    </w:p>
    <w:p>
      <w:pPr>
        <w:pStyle w:val="ListBullet"/>
      </w:pPr>
      <w:r>
        <w:t>You will need to distinguish between matters that are regulated designated services and matters that are not.</w:t>
      </w:r>
    </w:p>
    <w:p>
      <w:pPr>
        <w:pStyle w:val="ListBullet"/>
      </w:pPr>
      <w:r>
        <w:t>Expect greater scrutiny of source of funds, source of wealth, beneficial ownership, controllers and intermediaries.</w:t>
      </w:r>
    </w:p>
    <w:p>
      <w:pPr>
        <w:pStyle w:val="ListBullet"/>
      </w:pPr>
      <w:r>
        <w:t>High-risk matters may require enhanced due diligence and formal approval before you proceed.</w:t>
      </w:r>
    </w:p>
    <w:p>
      <w:pPr>
        <w:pStyle w:val="ListBullet"/>
      </w:pPr>
      <w:r>
        <w:t>You will need clear internal rules for escalation, file notes, refusal/exit decisions and suspicious matter handling.</w:t>
      </w:r>
    </w:p>
    <w:p>
      <w:pPr>
        <w:pStyle w:val="Heading2"/>
      </w:pPr>
      <w:r>
        <w:t>Accountants and professional advisers</w:t>
      </w:r>
    </w:p>
    <w:p>
      <w:pPr>
        <w:pStyle w:val="ListBullet"/>
      </w:pPr>
      <w:r>
        <w:t>Advisory work involving entity structuring, transactions, and other designated services may trigger AML/CTF obligations.</w:t>
      </w:r>
    </w:p>
    <w:p>
      <w:pPr>
        <w:pStyle w:val="ListBullet"/>
      </w:pPr>
      <w:r>
        <w:t>You will need stronger procedures around identifying who really owns and controls a client or structure.</w:t>
      </w:r>
    </w:p>
    <w:p>
      <w:pPr>
        <w:pStyle w:val="ListBullet"/>
      </w:pPr>
      <w:r>
        <w:t>Informal reliance on long-standing client relationships will no longer be enough for higher-risk work.</w:t>
      </w:r>
    </w:p>
    <w:p>
      <w:pPr>
        <w:pStyle w:val="ListBullet"/>
      </w:pPr>
      <w:r>
        <w:t>Staff will need to recognise red flags such as unnecessary complexity, opaque ownership, unusual urgency, and misalignment between client profile and transaction purpose.</w:t>
      </w:r>
    </w:p>
    <w:p>
      <w:pPr>
        <w:pStyle w:val="ListBullet"/>
      </w:pPr>
      <w:r>
        <w:t>Your practice management, onboarding and record-retention processes will need redesign to capture required evidence.</w:t>
      </w:r>
    </w:p>
    <w:p>
      <w:pPr>
        <w:pStyle w:val="Heading2"/>
      </w:pPr>
      <w:r>
        <w:t>Conveyancers</w:t>
      </w:r>
    </w:p>
    <w:p>
      <w:pPr>
        <w:pStyle w:val="ListBullet"/>
      </w:pPr>
      <w:r>
        <w:t>Property transfers become a front-line AML/CTF risk point because real estate can be used to store and disguise illicit wealth.</w:t>
      </w:r>
    </w:p>
    <w:p>
      <w:pPr>
        <w:pStyle w:val="ListBullet"/>
      </w:pPr>
      <w:r>
        <w:t>You will need to know more about the buyer, seller, controllers, source of funds, and whether a third party is really behind the transaction.</w:t>
      </w:r>
    </w:p>
    <w:p>
      <w:pPr>
        <w:pStyle w:val="ListBullet"/>
      </w:pPr>
      <w:r>
        <w:t>Transactions involving rapid changes, unexplained funds, offshore structures, nominee arrangements, or unusual payment patterns will require closer attention.</w:t>
      </w:r>
    </w:p>
    <w:p>
      <w:pPr>
        <w:pStyle w:val="ListBullet"/>
      </w:pPr>
      <w:r>
        <w:t>Settlement workflows and file-opening procedures will need compliance checkpoints built in, not bolted on later.</w:t>
      </w:r>
    </w:p>
    <w:p>
      <w:pPr>
        <w:pStyle w:val="Heading2"/>
      </w:pPr>
      <w:r>
        <w:t>Real estate professionals and developers</w:t>
      </w:r>
    </w:p>
    <w:p>
      <w:pPr>
        <w:pStyle w:val="ListBullet"/>
      </w:pPr>
      <w:r>
        <w:t>You should assume AUSTRAC expects better visibility into who you are dealing with, who benefits from the deal, and whether the transaction makes sense.</w:t>
      </w:r>
    </w:p>
    <w:p>
      <w:pPr>
        <w:pStyle w:val="ListBullet"/>
      </w:pPr>
      <w:r>
        <w:t>Sales teams will need practical escalation triggers, especially for complex ownership structures, cash-related red flags, and buyers acting through representatives.</w:t>
      </w:r>
    </w:p>
    <w:p>
      <w:pPr>
        <w:pStyle w:val="ListBullet"/>
      </w:pPr>
      <w:r>
        <w:t>This will affect agency onboarding, document collection, sales processes, record retention and staff training.</w:t>
      </w:r>
    </w:p>
    <w:p>
      <w:pPr>
        <w:pStyle w:val="ListBullet"/>
      </w:pPr>
      <w:r>
        <w:t>A common mistake will be treating AML/CTF as a legal team issue only; front-line staff are critical control owners.</w:t>
      </w:r>
    </w:p>
    <w:p>
      <w:pPr>
        <w:pStyle w:val="Heading2"/>
      </w:pPr>
      <w:r>
        <w:t>Dealers in precious metals, stones and products</w:t>
      </w:r>
    </w:p>
    <w:p>
      <w:pPr>
        <w:pStyle w:val="ListBullet"/>
      </w:pPr>
      <w:r>
        <w:t>High-value portable assets are attractive to criminals because they can move value quickly and discreetly.</w:t>
      </w:r>
    </w:p>
    <w:p>
      <w:pPr>
        <w:pStyle w:val="ListBullet"/>
      </w:pPr>
      <w:r>
        <w:t>Cash thresholds, linked transactions, intermediaries and unusual purchasing behaviour become major risk signals.</w:t>
      </w:r>
    </w:p>
    <w:p>
      <w:pPr>
        <w:pStyle w:val="ListBullet"/>
      </w:pPr>
      <w:r>
        <w:t>Point-of-sale processes may need changes so identification, screening, escalation and records happen before completion of a relevant sale or purchase.</w:t>
      </w:r>
    </w:p>
    <w:p>
      <w:pPr>
        <w:pStyle w:val="ListBullet"/>
      </w:pPr>
      <w:r>
        <w:t>Staff must be trained to identify structuring and linked transactions that look separate but are effectively connected.</w:t>
      </w:r>
    </w:p>
    <w:p>
      <w:pPr>
        <w:pStyle w:val="Heading2"/>
      </w:pPr>
      <w:r>
        <w:t>Trust and company service providers</w:t>
      </w:r>
    </w:p>
    <w:p>
      <w:pPr>
        <w:pStyle w:val="ListBullet"/>
      </w:pPr>
      <w:r>
        <w:t>This sector is heavily exposed to beneficial ownership and control risks.</w:t>
      </w:r>
    </w:p>
    <w:p>
      <w:pPr>
        <w:pStyle w:val="ListBullet"/>
      </w:pPr>
      <w:r>
        <w:t>You will need strong controls over formation services, nominee arrangements, directors/shareholders, trustees, settlors, beneficiaries and controllers.</w:t>
      </w:r>
    </w:p>
    <w:p>
      <w:pPr>
        <w:pStyle w:val="ListBullet"/>
      </w:pPr>
      <w:r>
        <w:t>Where structures are layered across jurisdictions or appear unnecessarily complex, enhanced due diligence should be expected.</w:t>
      </w:r>
    </w:p>
    <w:p>
      <w:pPr>
        <w:pStyle w:val="ListBullet"/>
      </w:pPr>
      <w:r>
        <w:t>The practical challenge is not just identifying names, but understanding who is really exercising control and why the structure exists.</w:t>
      </w:r>
    </w:p>
    <w:p>
      <w:pPr>
        <w:pStyle w:val="Heading1"/>
      </w:pPr>
      <w:r>
        <w:t>6. What businesses usually underestimate</w:t>
      </w:r>
    </w:p>
    <w:p>
      <w:pPr>
        <w:pStyle w:val="ListBullet"/>
      </w:pPr>
      <w:r>
        <w:t>The volume of remediation needed for existing clients and current matters.</w:t>
      </w:r>
    </w:p>
    <w:p>
      <w:pPr>
        <w:pStyle w:val="ListBullet"/>
      </w:pPr>
      <w:r>
        <w:t>How much front-line staff training is required to make the framework actually work.</w:t>
      </w:r>
    </w:p>
    <w:p>
      <w:pPr>
        <w:pStyle w:val="ListBullet"/>
      </w:pPr>
      <w:r>
        <w:t>The time needed to map which services are regulated and which are out of scope.</w:t>
      </w:r>
    </w:p>
    <w:p>
      <w:pPr>
        <w:pStyle w:val="ListBullet"/>
      </w:pPr>
      <w:r>
        <w:t>The operational effort to collect beneficial ownership and source-of-funds information in a consistent way.</w:t>
      </w:r>
    </w:p>
    <w:p>
      <w:pPr>
        <w:pStyle w:val="ListBullet"/>
      </w:pPr>
      <w:r>
        <w:t>The need to document decisions, not just make them.</w:t>
      </w:r>
    </w:p>
    <w:p>
      <w:pPr>
        <w:pStyle w:val="ListBullet"/>
      </w:pPr>
      <w:r>
        <w:t>How quickly poor-quality onboarding can turn into late matters, frustrated clients and inconsistent risk decisions.</w:t>
      </w:r>
    </w:p>
    <w:p>
      <w:pPr>
        <w:pStyle w:val="Heading1"/>
      </w:pPr>
      <w:r>
        <w:t>7. Common red flags across Tranche 2 sectors</w:t>
      </w:r>
    </w:p>
    <w:p>
      <w:pPr>
        <w:pStyle w:val="ListBullet"/>
      </w:pPr>
      <w:r>
        <w:t>Unnecessarily complex ownership structures without a clear commercial reason</w:t>
      </w:r>
    </w:p>
    <w:p>
      <w:pPr>
        <w:pStyle w:val="ListBullet"/>
      </w:pPr>
      <w:r>
        <w:t>Clients reluctant to provide identification, beneficial ownership, source-of-funds or source-of-wealth information</w:t>
      </w:r>
    </w:p>
    <w:p>
      <w:pPr>
        <w:pStyle w:val="ListBullet"/>
      </w:pPr>
      <w:r>
        <w:t>Use of intermediaries or representatives with no clear explanation</w:t>
      </w:r>
    </w:p>
    <w:p>
      <w:pPr>
        <w:pStyle w:val="ListBullet"/>
      </w:pPr>
      <w:r>
        <w:t>Urgency that seems artificial or designed to bypass normal controls</w:t>
      </w:r>
    </w:p>
    <w:p>
      <w:pPr>
        <w:pStyle w:val="ListBullet"/>
      </w:pPr>
      <w:r>
        <w:t>Payments from unrelated third parties</w:t>
      </w:r>
    </w:p>
    <w:p>
      <w:pPr>
        <w:pStyle w:val="ListBullet"/>
      </w:pPr>
      <w:r>
        <w:t>Frequent changes to counterparties, ownership, instructions or settlement arrangements</w:t>
      </w:r>
    </w:p>
    <w:p>
      <w:pPr>
        <w:pStyle w:val="ListBullet"/>
      </w:pPr>
      <w:r>
        <w:t>Use of offshore entities or trusts in a way that obscures control</w:t>
      </w:r>
    </w:p>
    <w:p>
      <w:pPr>
        <w:pStyle w:val="ListBullet"/>
      </w:pPr>
      <w:r>
        <w:t>Transactions inconsistent with the client’s profile, business activity or known wealth</w:t>
      </w:r>
    </w:p>
    <w:p>
      <w:pPr>
        <w:pStyle w:val="ListBullet"/>
      </w:pPr>
      <w:r>
        <w:t>Linked cash or value transactions that appear structured to avoid scrutiny</w:t>
      </w:r>
    </w:p>
    <w:p>
      <w:pPr>
        <w:pStyle w:val="ListBullet"/>
      </w:pPr>
      <w:r>
        <w:t>Clients focused on anonymity, secrecy or avoiding documentation</w:t>
      </w:r>
    </w:p>
    <w:p>
      <w:pPr>
        <w:pStyle w:val="Heading1"/>
      </w:pPr>
      <w:r>
        <w:t>8. A practical 90-day readiness plan</w:t>
      </w:r>
    </w:p>
    <w:p>
      <w:pPr>
        <w:pStyle w:val="ListNumber"/>
      </w:pPr>
      <w:r>
        <w:rPr>
          <w:b/>
        </w:rPr>
        <w:t xml:space="preserve">Days 1–15: </w:t>
      </w:r>
      <w:r>
        <w:t>Confirm whether you provide any designated services, map in-scope business lines, identify the accountable executive, and establish a project owner.</w:t>
      </w:r>
    </w:p>
    <w:p>
      <w:pPr>
        <w:pStyle w:val="ListNumber"/>
      </w:pPr>
      <w:r>
        <w:rPr>
          <w:b/>
        </w:rPr>
        <w:t xml:space="preserve">Days 16–30: </w:t>
      </w:r>
      <w:r>
        <w:t>Complete an enterprise-wide risk assessment covering customers, services, channels, jurisdictions, delivery models and products/assets.</w:t>
      </w:r>
    </w:p>
    <w:p>
      <w:pPr>
        <w:pStyle w:val="ListNumber"/>
      </w:pPr>
      <w:r>
        <w:rPr>
          <w:b/>
        </w:rPr>
        <w:t xml:space="preserve">Days 31–45: </w:t>
      </w:r>
      <w:r>
        <w:t>Draft or refresh your AML/CTF program, including onboarding rules, escalation pathways, enhanced due diligence triggers, reporting triggers and record-keeping controls.</w:t>
      </w:r>
    </w:p>
    <w:p>
      <w:pPr>
        <w:pStyle w:val="ListNumber"/>
      </w:pPr>
      <w:r>
        <w:rPr>
          <w:b/>
        </w:rPr>
        <w:t xml:space="preserve">Days 46–60: </w:t>
      </w:r>
      <w:r>
        <w:t>Build or update forms, scripts, file-opening checklists, engagement terms, KYC workflows, beneficial ownership capture and screening steps.</w:t>
      </w:r>
    </w:p>
    <w:p>
      <w:pPr>
        <w:pStyle w:val="ListNumber"/>
      </w:pPr>
      <w:r>
        <w:rPr>
          <w:b/>
        </w:rPr>
        <w:t xml:space="preserve">Days 61–75: </w:t>
      </w:r>
      <w:r>
        <w:t>Train staff by role: front office, operations, compliance, legal and leadership.</w:t>
      </w:r>
    </w:p>
    <w:p>
      <w:pPr>
        <w:pStyle w:val="ListNumber"/>
      </w:pPr>
      <w:r>
        <w:rPr>
          <w:b/>
        </w:rPr>
        <w:t xml:space="preserve">Days 76–90: </w:t>
      </w:r>
      <w:r>
        <w:t>Test the process with real scenarios, remediate gaps, finalise enrolment/admin tasks, and prepare an executive-level compliance dashboard.</w:t>
      </w:r>
    </w:p>
    <w:p>
      <w:pPr>
        <w:pStyle w:val="Heading1"/>
      </w:pPr>
      <w:r>
        <w:t>9. Questions leadership should ask now</w:t>
      </w:r>
    </w:p>
    <w:p>
      <w:pPr>
        <w:pStyle w:val="ListBullet"/>
      </w:pPr>
      <w:r>
        <w:t>Which exact services do we provide that are in scope?</w:t>
      </w:r>
    </w:p>
    <w:p>
      <w:pPr>
        <w:pStyle w:val="ListBullet"/>
      </w:pPr>
      <w:r>
        <w:t>Who owns AML/CTF compliance in practice, not just on paper?</w:t>
      </w:r>
    </w:p>
    <w:p>
      <w:pPr>
        <w:pStyle w:val="ListBullet"/>
      </w:pPr>
      <w:r>
        <w:t>Can our current onboarding process collect and verify what will be required?</w:t>
      </w:r>
    </w:p>
    <w:p>
      <w:pPr>
        <w:pStyle w:val="ListBullet"/>
      </w:pPr>
      <w:r>
        <w:t>How do we identify beneficial owners and controllers for complex structures?</w:t>
      </w:r>
    </w:p>
    <w:p>
      <w:pPr>
        <w:pStyle w:val="ListBullet"/>
      </w:pPr>
      <w:r>
        <w:t>What triggers enhanced due diligence or refusal to act?</w:t>
      </w:r>
    </w:p>
    <w:p>
      <w:pPr>
        <w:pStyle w:val="ListBullet"/>
      </w:pPr>
      <w:r>
        <w:t>How do staff escalate suspicious behaviour or unusual instructions?</w:t>
      </w:r>
    </w:p>
    <w:p>
      <w:pPr>
        <w:pStyle w:val="ListBullet"/>
      </w:pPr>
      <w:r>
        <w:t>Do our systems retain evidence well enough for AUSTRAC review?</w:t>
      </w:r>
    </w:p>
    <w:p>
      <w:pPr>
        <w:pStyle w:val="ListBullet"/>
      </w:pPr>
      <w:r>
        <w:t>Can we demonstrate a risk-based rationale for our decisions?</w:t>
      </w:r>
    </w:p>
    <w:p>
      <w:pPr>
        <w:pStyle w:val="Heading1"/>
      </w:pPr>
      <w:r>
        <w:t>10. Bottom line</w:t>
      </w:r>
    </w:p>
    <w:p>
      <w:r>
        <w:t>Tranche 2 is not just “banks-style compliance coming to other professions.” It is a structural shift in how certain Australian industries must assess clients, accept work, document transactions and manage financial crime risk. The businesses that do well will treat this as an operating model change, not a legal memo. In practice, that means clearer client acceptance rules, better data collection, stronger governance, better staff judgement and faster escalation of suspicious matters.</w:t>
      </w:r>
    </w:p>
    <w:p>
      <w:r>
        <w:t>If your business is potentially captured, the most useful question is not “Do we have a policy?” but “Can we show, consistently, how we identify risk, verify clients, escalate concerns and evidence our decisions?”</w:t>
      </w:r>
    </w:p>
    <w:p>
      <w:pPr>
        <w:pStyle w:val="Heading1"/>
      </w:pPr>
      <w:r>
        <w:t>Sources and further reading</w:t>
      </w:r>
    </w:p>
    <w:p>
      <w:pPr>
        <w:pStyle w:val="ListBullet"/>
      </w:pPr>
      <w:r>
        <w:rPr>
          <w:b/>
        </w:rPr>
        <w:t xml:space="preserve">AUSTRAC AML/CTF Reform hub: </w:t>
      </w:r>
      <w:r>
        <w:t>https://www.austrac.gov.au/amlctf-reform</w:t>
      </w:r>
    </w:p>
    <w:p>
      <w:pPr>
        <w:pStyle w:val="ListBullet"/>
      </w:pPr>
      <w:r>
        <w:rPr>
          <w:b/>
        </w:rPr>
        <w:t xml:space="preserve">AUSTRAC update: enrolment now open for newly regulated businesses: </w:t>
      </w:r>
      <w:r>
        <w:t>https://www.austrac.gov.au/new-and-media/news/austrac-opens-enrolment-new-professions-next-step-aml-reforms</w:t>
      </w:r>
    </w:p>
    <w:p>
      <w:pPr>
        <w:pStyle w:val="ListBullet"/>
      </w:pPr>
      <w:r>
        <w:rPr>
          <w:b/>
        </w:rPr>
        <w:t xml:space="preserve">Norton Rose Fulbright – Tranche 2 and AML/CTF Reforms Hub: </w:t>
      </w:r>
      <w:r>
        <w:t>https://www.nortonrosefulbright.com/en-au/knowledge/publications/bae065f5/tranche-2</w:t>
      </w:r>
    </w:p>
    <w:p>
      <w:pPr>
        <w:pStyle w:val="ListBullet"/>
      </w:pPr>
      <w:r>
        <w:rPr>
          <w:b/>
        </w:rPr>
        <w:t xml:space="preserve">Moody’s – Preparing for Tranche 2 AML/CTF Obligations in Australia: </w:t>
      </w:r>
      <w:r>
        <w:t>https://www.moodys.com/web/en/us/kyc/sectors/corporates/tranche-2-reforms.html</w:t>
      </w:r>
    </w:p>
    <w:p>
      <w:r>
        <w:rPr>
          <w:b/>
        </w:rPr>
        <w:t xml:space="preserve">Disclaimer: </w:t>
      </w:r>
      <w:r>
        <w:t>This guide is general information only. It does not constitute legal advice, regulatory advice or a definitive interpretation of the AML/CTF Act, Rules or AUSTRAC guidance. Coverage depends on the designated services provided and the facts of each business.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